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84E42" w14:textId="756058E9" w:rsidR="00220831" w:rsidRPr="00C546A6" w:rsidRDefault="00220831" w:rsidP="00220831">
      <w:pPr>
        <w:spacing w:line="240" w:lineRule="auto"/>
        <w:contextualSpacing/>
        <w:rPr>
          <w:rFonts w:ascii="Arial" w:eastAsia="Calibri" w:hAnsi="Arial" w:cs="Times New Roman"/>
          <w:kern w:val="0"/>
          <w:sz w:val="24"/>
          <w14:ligatures w14:val="none"/>
        </w:rPr>
      </w:pPr>
      <w:bookmarkStart w:id="0" w:name="_Hlk169648027"/>
      <w:r w:rsidRPr="00C546A6">
        <w:rPr>
          <w:rFonts w:ascii="Arial" w:eastAsia="Calibri" w:hAnsi="Arial" w:cs="Arial"/>
          <w:kern w:val="0"/>
          <w:sz w:val="24"/>
          <w:szCs w:val="24"/>
          <w14:ligatures w14:val="none"/>
        </w:rPr>
        <w:t xml:space="preserve">Gray mold, caused by </w:t>
      </w:r>
      <w:r w:rsidRPr="00C546A6">
        <w:rPr>
          <w:rFonts w:ascii="Arial" w:eastAsia="Calibri" w:hAnsi="Arial" w:cs="Arial"/>
          <w:i/>
          <w:iCs/>
          <w:kern w:val="0"/>
          <w:sz w:val="24"/>
          <w:szCs w:val="24"/>
          <w14:ligatures w14:val="none"/>
        </w:rPr>
        <w:t>Botrytis</w:t>
      </w:r>
      <w:r w:rsidRPr="00C546A6">
        <w:rPr>
          <w:rFonts w:ascii="Arial" w:eastAsia="Calibri" w:hAnsi="Arial" w:cs="Arial"/>
          <w:kern w:val="0"/>
          <w:sz w:val="24"/>
          <w:szCs w:val="24"/>
          <w14:ligatures w14:val="none"/>
        </w:rPr>
        <w:t xml:space="preserve"> spp., is a significant disease of blueberry in the Pacific Northwest (PNW), resulting in pre- and post-harvest losses. The management of this disease primarily depends on the rotation of various site-specific fungicides that possess distinct modes of action. Nevertheless, there is a dearth of research-based information regarding the fungicide resistance profiles of </w:t>
      </w:r>
      <w:r w:rsidRPr="00C546A6">
        <w:rPr>
          <w:rFonts w:ascii="Arial" w:eastAsia="Calibri" w:hAnsi="Arial" w:cs="Arial"/>
          <w:i/>
          <w:iCs/>
          <w:kern w:val="0"/>
          <w:sz w:val="24"/>
          <w:szCs w:val="24"/>
          <w14:ligatures w14:val="none"/>
        </w:rPr>
        <w:t>Botrytis</w:t>
      </w:r>
      <w:r w:rsidRPr="00C546A6">
        <w:rPr>
          <w:rFonts w:ascii="Arial" w:eastAsia="Calibri" w:hAnsi="Arial" w:cs="Arial"/>
          <w:kern w:val="0"/>
          <w:sz w:val="24"/>
          <w:szCs w:val="24"/>
          <w14:ligatures w14:val="none"/>
        </w:rPr>
        <w:t xml:space="preserve"> spp. obtained from blueberry fields in the PNW. Such knowledge gaps have the potential to significantly impact the selection of fungicides for incorporation into spray programs. To address this research gap, 376 </w:t>
      </w:r>
      <w:r w:rsidRPr="00C546A6">
        <w:rPr>
          <w:rFonts w:ascii="Arial" w:eastAsia="Calibri" w:hAnsi="Arial" w:cs="Arial"/>
          <w:i/>
          <w:iCs/>
          <w:kern w:val="0"/>
          <w:sz w:val="24"/>
          <w:szCs w:val="24"/>
          <w14:ligatures w14:val="none"/>
        </w:rPr>
        <w:t>Botrytis</w:t>
      </w:r>
      <w:r w:rsidRPr="00C546A6">
        <w:rPr>
          <w:rFonts w:ascii="Arial" w:eastAsia="Calibri" w:hAnsi="Arial" w:cs="Arial"/>
          <w:kern w:val="0"/>
          <w:sz w:val="24"/>
          <w:szCs w:val="24"/>
          <w14:ligatures w14:val="none"/>
        </w:rPr>
        <w:t xml:space="preserve"> spp. isolates were collected from 22 and 13 blueberry fields from Washington (WA) and Oregon (OR), respectively, during the 2022 growing season, at three sampling times: early season, mid-season, and late season in WA</w:t>
      </w:r>
      <w:r>
        <w:rPr>
          <w:rFonts w:ascii="Arial" w:eastAsia="Calibri" w:hAnsi="Arial" w:cs="Arial"/>
          <w:kern w:val="0"/>
          <w:sz w:val="24"/>
          <w:szCs w:val="24"/>
          <w14:ligatures w14:val="none"/>
        </w:rPr>
        <w:t>,</w:t>
      </w:r>
      <w:r w:rsidRPr="00C546A6">
        <w:rPr>
          <w:rFonts w:ascii="Arial" w:eastAsia="Calibri" w:hAnsi="Arial" w:cs="Arial"/>
          <w:kern w:val="0"/>
          <w:sz w:val="24"/>
          <w:szCs w:val="24"/>
          <w14:ligatures w14:val="none"/>
        </w:rPr>
        <w:t xml:space="preserve"> and only at the late season stage in OR. Of the 376 isolates tested in this study, 375 were characterized as </w:t>
      </w:r>
      <w:r w:rsidRPr="00C546A6">
        <w:rPr>
          <w:rFonts w:ascii="Arial" w:eastAsia="Calibri" w:hAnsi="Arial" w:cs="Arial"/>
          <w:i/>
          <w:iCs/>
          <w:kern w:val="0"/>
          <w:sz w:val="24"/>
          <w:szCs w:val="24"/>
          <w14:ligatures w14:val="none"/>
        </w:rPr>
        <w:t>B. cinerea</w:t>
      </w:r>
      <w:r w:rsidRPr="00C546A6">
        <w:rPr>
          <w:rFonts w:ascii="Arial" w:eastAsia="Calibri" w:hAnsi="Arial" w:cs="Arial"/>
          <w:kern w:val="0"/>
          <w:sz w:val="24"/>
          <w:szCs w:val="24"/>
          <w14:ligatures w14:val="none"/>
        </w:rPr>
        <w:t xml:space="preserve">, whereas one isolate was identified as </w:t>
      </w:r>
      <w:r w:rsidRPr="00C546A6">
        <w:rPr>
          <w:rFonts w:ascii="Arial" w:eastAsia="Calibri" w:hAnsi="Arial" w:cs="Arial"/>
          <w:i/>
          <w:iCs/>
          <w:kern w:val="0"/>
          <w:sz w:val="24"/>
          <w:szCs w:val="24"/>
          <w14:ligatures w14:val="none"/>
        </w:rPr>
        <w:t xml:space="preserve">B. </w:t>
      </w:r>
      <w:proofErr w:type="spellStart"/>
      <w:r w:rsidRPr="00C546A6">
        <w:rPr>
          <w:rFonts w:ascii="Arial" w:eastAsia="Calibri" w:hAnsi="Arial" w:cs="Arial"/>
          <w:i/>
          <w:iCs/>
          <w:kern w:val="0"/>
          <w:sz w:val="24"/>
          <w:szCs w:val="24"/>
          <w14:ligatures w14:val="none"/>
        </w:rPr>
        <w:t>pseudocinerea</w:t>
      </w:r>
      <w:proofErr w:type="spellEnd"/>
      <w:r w:rsidRPr="00C546A6">
        <w:rPr>
          <w:rFonts w:ascii="Arial" w:eastAsia="Calibri" w:hAnsi="Arial" w:cs="Arial"/>
          <w:kern w:val="0"/>
          <w:sz w:val="24"/>
          <w:szCs w:val="24"/>
          <w14:ligatures w14:val="none"/>
        </w:rPr>
        <w:t xml:space="preserve">. The fungicide sensitivity of </w:t>
      </w:r>
      <w:r w:rsidRPr="00C546A6">
        <w:rPr>
          <w:rFonts w:ascii="Arial" w:eastAsia="Calibri" w:hAnsi="Arial" w:cs="Arial"/>
          <w:i/>
          <w:iCs/>
          <w:kern w:val="0"/>
          <w:sz w:val="24"/>
          <w:szCs w:val="24"/>
          <w14:ligatures w14:val="none"/>
        </w:rPr>
        <w:t>Botrytis</w:t>
      </w:r>
      <w:r w:rsidRPr="00C546A6">
        <w:rPr>
          <w:rFonts w:ascii="Arial" w:eastAsia="Calibri" w:hAnsi="Arial" w:cs="Arial"/>
          <w:kern w:val="0"/>
          <w:sz w:val="24"/>
          <w:szCs w:val="24"/>
          <w14:ligatures w14:val="none"/>
        </w:rPr>
        <w:t xml:space="preserve"> spp. isolates </w:t>
      </w:r>
      <w:r>
        <w:rPr>
          <w:rFonts w:ascii="Arial" w:eastAsia="Calibri" w:hAnsi="Arial" w:cs="Arial"/>
          <w:kern w:val="0"/>
          <w:sz w:val="24"/>
          <w:szCs w:val="24"/>
          <w14:ligatures w14:val="none"/>
        </w:rPr>
        <w:t>was</w:t>
      </w:r>
      <w:r w:rsidRPr="00C546A6">
        <w:rPr>
          <w:rFonts w:ascii="Arial" w:eastAsia="Calibri" w:hAnsi="Arial" w:cs="Arial"/>
          <w:kern w:val="0"/>
          <w:sz w:val="24"/>
          <w:szCs w:val="24"/>
          <w14:ligatures w14:val="none"/>
        </w:rPr>
        <w:t xml:space="preserve"> evaluated using conidial germination assays on agar media amended with discriminatory doses of 10, 5, 10, and 5 µg/ml for </w:t>
      </w:r>
      <w:proofErr w:type="spellStart"/>
      <w:r w:rsidRPr="00C546A6">
        <w:rPr>
          <w:rFonts w:ascii="Arial" w:eastAsia="Calibri" w:hAnsi="Arial" w:cs="Arial"/>
          <w:kern w:val="0"/>
          <w:sz w:val="24"/>
          <w:szCs w:val="24"/>
          <w14:ligatures w14:val="none"/>
        </w:rPr>
        <w:t>boscalid</w:t>
      </w:r>
      <w:proofErr w:type="spellEnd"/>
      <w:r w:rsidRPr="00C546A6">
        <w:rPr>
          <w:rFonts w:ascii="Arial" w:eastAsia="Calibri" w:hAnsi="Arial" w:cs="Arial"/>
          <w:kern w:val="0"/>
          <w:sz w:val="24"/>
          <w:szCs w:val="24"/>
          <w14:ligatures w14:val="none"/>
        </w:rPr>
        <w:t xml:space="preserve">, </w:t>
      </w:r>
      <w:proofErr w:type="spellStart"/>
      <w:r w:rsidRPr="00C546A6">
        <w:rPr>
          <w:rFonts w:ascii="Arial" w:eastAsia="Calibri" w:hAnsi="Arial" w:cs="Arial"/>
          <w:kern w:val="0"/>
          <w:sz w:val="24"/>
          <w:szCs w:val="24"/>
          <w14:ligatures w14:val="none"/>
        </w:rPr>
        <w:t>fluopyram</w:t>
      </w:r>
      <w:proofErr w:type="spellEnd"/>
      <w:r w:rsidRPr="00C546A6">
        <w:rPr>
          <w:rFonts w:ascii="Arial" w:eastAsia="Calibri" w:hAnsi="Arial" w:cs="Arial"/>
          <w:kern w:val="0"/>
          <w:sz w:val="24"/>
          <w:szCs w:val="24"/>
          <w14:ligatures w14:val="none"/>
        </w:rPr>
        <w:t xml:space="preserve">, fluxapyroxad, and </w:t>
      </w:r>
      <w:proofErr w:type="spellStart"/>
      <w:r w:rsidRPr="00C546A6">
        <w:rPr>
          <w:rFonts w:ascii="Arial" w:eastAsia="Calibri" w:hAnsi="Arial" w:cs="Arial"/>
          <w:kern w:val="0"/>
          <w:sz w:val="24"/>
          <w:szCs w:val="24"/>
          <w14:ligatures w14:val="none"/>
        </w:rPr>
        <w:t>isofetamid</w:t>
      </w:r>
      <w:proofErr w:type="spellEnd"/>
      <w:r w:rsidRPr="00C546A6">
        <w:rPr>
          <w:rFonts w:ascii="Arial" w:eastAsia="Calibri" w:hAnsi="Arial" w:cs="Arial"/>
          <w:kern w:val="0"/>
          <w:sz w:val="24"/>
          <w:szCs w:val="24"/>
          <w14:ligatures w14:val="none"/>
        </w:rPr>
        <w:t xml:space="preserve"> (Fungicide Resistance Action Committee; FRAC group 7) respectively, 4 and 25 µg/ml for cyprodinil and pyrimethanil (FRAC 9), 1 µg/ml for azoxystrobin and </w:t>
      </w:r>
      <w:proofErr w:type="spellStart"/>
      <w:r w:rsidRPr="00C546A6">
        <w:rPr>
          <w:rFonts w:ascii="Arial" w:eastAsia="Calibri" w:hAnsi="Arial" w:cs="Arial"/>
          <w:kern w:val="0"/>
          <w:sz w:val="24"/>
          <w:szCs w:val="24"/>
          <w14:ligatures w14:val="none"/>
        </w:rPr>
        <w:t>pyraclostrobin</w:t>
      </w:r>
      <w:proofErr w:type="spellEnd"/>
      <w:r w:rsidRPr="00C546A6">
        <w:rPr>
          <w:rFonts w:ascii="Arial" w:eastAsia="Calibri" w:hAnsi="Arial" w:cs="Arial"/>
          <w:kern w:val="0"/>
          <w:sz w:val="24"/>
          <w:szCs w:val="24"/>
          <w14:ligatures w14:val="none"/>
        </w:rPr>
        <w:t xml:space="preserve"> (FRAC 11), 0.1 and 1 µg/ml for fludioxonil (FRAC 12), and 1 µg/ml for fenhexamid (FRAC 17). Multi-fungicide resistance was widespread in WA and OR, with about 74% of </w:t>
      </w:r>
      <w:r w:rsidRPr="00C546A6">
        <w:rPr>
          <w:rFonts w:ascii="Arial" w:eastAsia="Calibri" w:hAnsi="Arial" w:cs="Arial"/>
          <w:i/>
          <w:iCs/>
          <w:kern w:val="0"/>
          <w:sz w:val="24"/>
          <w:szCs w:val="24"/>
          <w14:ligatures w14:val="none"/>
        </w:rPr>
        <w:t xml:space="preserve">Botrytis spp. </w:t>
      </w:r>
      <w:r w:rsidRPr="00C546A6">
        <w:rPr>
          <w:rFonts w:ascii="Arial" w:eastAsia="Calibri" w:hAnsi="Arial" w:cs="Arial"/>
          <w:kern w:val="0"/>
          <w:sz w:val="24"/>
          <w:szCs w:val="24"/>
          <w14:ligatures w14:val="none"/>
        </w:rPr>
        <w:t xml:space="preserve">isolates exhibiting resistance to one or more FRAC groups. The overall frequencies of </w:t>
      </w:r>
      <w:r w:rsidRPr="00C546A6">
        <w:rPr>
          <w:rFonts w:ascii="Arial" w:eastAsia="Calibri" w:hAnsi="Arial" w:cs="Arial"/>
          <w:i/>
          <w:iCs/>
          <w:kern w:val="0"/>
          <w:sz w:val="24"/>
          <w:szCs w:val="24"/>
          <w14:ligatures w14:val="none"/>
        </w:rPr>
        <w:t>Botrytis</w:t>
      </w:r>
      <w:r w:rsidRPr="00C546A6">
        <w:rPr>
          <w:rFonts w:ascii="Arial" w:eastAsia="Calibri" w:hAnsi="Arial" w:cs="Arial"/>
          <w:kern w:val="0"/>
          <w:sz w:val="24"/>
          <w:szCs w:val="24"/>
          <w14:ligatures w14:val="none"/>
        </w:rPr>
        <w:t xml:space="preserve"> spp. isolates resistant to azoxystrobin, </w:t>
      </w:r>
      <w:proofErr w:type="spellStart"/>
      <w:r w:rsidRPr="00C546A6">
        <w:rPr>
          <w:rFonts w:ascii="Arial" w:eastAsia="Calibri" w:hAnsi="Arial" w:cs="Arial"/>
          <w:kern w:val="0"/>
          <w:sz w:val="24"/>
          <w:szCs w:val="24"/>
          <w14:ligatures w14:val="none"/>
        </w:rPr>
        <w:t>pyraclostrobin</w:t>
      </w:r>
      <w:proofErr w:type="spellEnd"/>
      <w:r w:rsidRPr="00C546A6">
        <w:rPr>
          <w:rFonts w:ascii="Arial" w:eastAsia="Calibri" w:hAnsi="Arial" w:cs="Arial"/>
          <w:kern w:val="0"/>
          <w:sz w:val="24"/>
          <w:szCs w:val="24"/>
          <w14:ligatures w14:val="none"/>
        </w:rPr>
        <w:t xml:space="preserve">, </w:t>
      </w:r>
      <w:proofErr w:type="spellStart"/>
      <w:r w:rsidRPr="00C546A6">
        <w:rPr>
          <w:rFonts w:ascii="Arial" w:eastAsia="Calibri" w:hAnsi="Arial" w:cs="Arial"/>
          <w:kern w:val="0"/>
          <w:sz w:val="24"/>
          <w:szCs w:val="24"/>
          <w14:ligatures w14:val="none"/>
        </w:rPr>
        <w:t>boscalid</w:t>
      </w:r>
      <w:proofErr w:type="spellEnd"/>
      <w:r w:rsidRPr="00C546A6">
        <w:rPr>
          <w:rFonts w:ascii="Arial" w:eastAsia="Calibri" w:hAnsi="Arial" w:cs="Arial"/>
          <w:kern w:val="0"/>
          <w:sz w:val="24"/>
          <w:szCs w:val="24"/>
          <w14:ligatures w14:val="none"/>
        </w:rPr>
        <w:t xml:space="preserve">, </w:t>
      </w:r>
      <w:proofErr w:type="spellStart"/>
      <w:r w:rsidRPr="00C546A6">
        <w:rPr>
          <w:rFonts w:ascii="Arial" w:eastAsia="Calibri" w:hAnsi="Arial" w:cs="Arial"/>
          <w:kern w:val="0"/>
          <w:sz w:val="24"/>
          <w:szCs w:val="24"/>
          <w14:ligatures w14:val="none"/>
        </w:rPr>
        <w:t>fluopyram</w:t>
      </w:r>
      <w:proofErr w:type="spellEnd"/>
      <w:r w:rsidRPr="00C546A6">
        <w:rPr>
          <w:rFonts w:ascii="Arial" w:eastAsia="Calibri" w:hAnsi="Arial" w:cs="Arial"/>
          <w:kern w:val="0"/>
          <w:sz w:val="24"/>
          <w:szCs w:val="24"/>
          <w14:ligatures w14:val="none"/>
        </w:rPr>
        <w:t xml:space="preserve">, fluxapyroxad, fenhexamid, </w:t>
      </w:r>
      <w:proofErr w:type="spellStart"/>
      <w:r w:rsidRPr="00C546A6">
        <w:rPr>
          <w:rFonts w:ascii="Arial" w:eastAsia="Calibri" w:hAnsi="Arial" w:cs="Arial"/>
          <w:kern w:val="0"/>
          <w:sz w:val="24"/>
          <w:szCs w:val="24"/>
          <w14:ligatures w14:val="none"/>
        </w:rPr>
        <w:t>isofetamid</w:t>
      </w:r>
      <w:proofErr w:type="spellEnd"/>
      <w:r w:rsidRPr="00C546A6">
        <w:rPr>
          <w:rFonts w:ascii="Arial" w:eastAsia="Calibri" w:hAnsi="Arial" w:cs="Arial"/>
          <w:kern w:val="0"/>
          <w:sz w:val="24"/>
          <w:szCs w:val="24"/>
          <w14:ligatures w14:val="none"/>
        </w:rPr>
        <w:t xml:space="preserve">, pyrimethanil, and cyprodinil were 62.5, 62.1, 52.3, 43.0, 33.7, 27.0, 22.4, 15.6, and 4.5%, respectively. Additionally, 39.7% of the isolates were less sensitive to fludioxonil. Evaluation of in-season shifts in the frequencies of isolates with resistance to the fungicides tested among the three sampling times did not indicate any significant changes. Furthermore, detached fruit assays on apples treated with the label rate of formulated premix fungicides (Pristine, Luna Tranquility, and Switch) and inoculated with 17 </w:t>
      </w:r>
      <w:r w:rsidRPr="00C546A6">
        <w:rPr>
          <w:rFonts w:ascii="Arial" w:eastAsia="Calibri" w:hAnsi="Arial" w:cs="Arial"/>
          <w:i/>
          <w:iCs/>
          <w:kern w:val="0"/>
          <w:sz w:val="24"/>
          <w:szCs w:val="24"/>
          <w14:ligatures w14:val="none"/>
        </w:rPr>
        <w:t>B. cinerea</w:t>
      </w:r>
      <w:r w:rsidRPr="00C546A6">
        <w:rPr>
          <w:rFonts w:ascii="Arial" w:eastAsia="Calibri" w:hAnsi="Arial" w:cs="Arial"/>
          <w:kern w:val="0"/>
          <w:sz w:val="24"/>
          <w:szCs w:val="24"/>
          <w14:ligatures w14:val="none"/>
        </w:rPr>
        <w:t xml:space="preserve"> isolates supported the results from in vitro assays.</w:t>
      </w:r>
      <w:r w:rsidRPr="00C546A6">
        <w:rPr>
          <w:rFonts w:ascii="Arial" w:eastAsia="Calibri" w:hAnsi="Arial" w:cs="Times New Roman"/>
          <w:kern w:val="0"/>
          <w:sz w:val="24"/>
          <w14:ligatures w14:val="none"/>
        </w:rPr>
        <w:t xml:space="preserve"> An</w:t>
      </w:r>
      <w:r w:rsidRPr="00C546A6">
        <w:rPr>
          <w:rFonts w:ascii="Arial" w:eastAsia="Calibri" w:hAnsi="Arial" w:cs="Arial"/>
          <w:kern w:val="0"/>
          <w:sz w:val="24"/>
          <w:szCs w:val="24"/>
          <w14:ligatures w14:val="none"/>
        </w:rPr>
        <w:t xml:space="preserve">alyses of </w:t>
      </w:r>
      <w:proofErr w:type="spellStart"/>
      <w:r w:rsidRPr="00C546A6">
        <w:rPr>
          <w:rFonts w:ascii="Arial" w:eastAsia="Calibri" w:hAnsi="Arial" w:cs="Arial"/>
          <w:i/>
          <w:iCs/>
          <w:kern w:val="0"/>
          <w:sz w:val="24"/>
          <w:szCs w:val="24"/>
          <w14:ligatures w14:val="none"/>
        </w:rPr>
        <w:t>sdhB</w:t>
      </w:r>
      <w:proofErr w:type="spellEnd"/>
      <w:r w:rsidRPr="00C546A6">
        <w:rPr>
          <w:rFonts w:ascii="Arial" w:eastAsia="Calibri" w:hAnsi="Arial" w:cs="Arial"/>
          <w:kern w:val="0"/>
          <w:sz w:val="24"/>
          <w:szCs w:val="24"/>
          <w14:ligatures w14:val="none"/>
        </w:rPr>
        <w:t xml:space="preserve"> sequences from 251 </w:t>
      </w:r>
      <w:r w:rsidRPr="00C546A6">
        <w:rPr>
          <w:rFonts w:ascii="Arial" w:eastAsia="Calibri" w:hAnsi="Arial" w:cs="Arial"/>
          <w:i/>
          <w:iCs/>
          <w:kern w:val="0"/>
          <w:sz w:val="24"/>
          <w:szCs w:val="24"/>
          <w14:ligatures w14:val="none"/>
        </w:rPr>
        <w:t xml:space="preserve">B. cinerea </w:t>
      </w:r>
      <w:r w:rsidRPr="00C546A6">
        <w:rPr>
          <w:rFonts w:ascii="Arial" w:eastAsia="Calibri" w:hAnsi="Arial" w:cs="Arial"/>
          <w:kern w:val="0"/>
          <w:sz w:val="24"/>
          <w:szCs w:val="24"/>
          <w14:ligatures w14:val="none"/>
        </w:rPr>
        <w:t xml:space="preserve">isolates revealed six previously characterized mutations: N230I (41.4%), H272R (22.3%), P225F (19.5%), H272V (10.4%), H272Y (5.5%), and I274V (0.9%). Our findings indicate the prevalence of N230I, P225F, and H272V mutations in </w:t>
      </w:r>
      <w:r w:rsidRPr="00C546A6">
        <w:rPr>
          <w:rFonts w:ascii="Arial" w:eastAsia="Calibri" w:hAnsi="Arial" w:cs="Arial"/>
          <w:i/>
          <w:iCs/>
          <w:kern w:val="0"/>
          <w:sz w:val="24"/>
          <w:szCs w:val="24"/>
          <w14:ligatures w14:val="none"/>
        </w:rPr>
        <w:t>B. cinerea</w:t>
      </w:r>
      <w:r w:rsidRPr="00C546A6">
        <w:rPr>
          <w:rFonts w:ascii="Arial" w:eastAsia="Calibri" w:hAnsi="Arial" w:cs="Arial"/>
          <w:kern w:val="0"/>
          <w:sz w:val="24"/>
          <w:szCs w:val="24"/>
          <w14:ligatures w14:val="none"/>
        </w:rPr>
        <w:t xml:space="preserve"> isolates from WA and OR, which confer resistance to multiple FRAC group 7 fungicides. In conclusion, this study reports the existence of </w:t>
      </w:r>
      <w:r w:rsidRPr="00C546A6">
        <w:rPr>
          <w:rFonts w:ascii="Arial" w:eastAsia="Calibri" w:hAnsi="Arial" w:cs="Arial"/>
          <w:i/>
          <w:iCs/>
          <w:kern w:val="0"/>
          <w:sz w:val="24"/>
          <w:szCs w:val="24"/>
          <w14:ligatures w14:val="none"/>
        </w:rPr>
        <w:t>B. cinerea</w:t>
      </w:r>
      <w:r w:rsidRPr="00C546A6">
        <w:rPr>
          <w:rFonts w:ascii="Arial" w:eastAsia="Calibri" w:hAnsi="Arial" w:cs="Arial"/>
          <w:kern w:val="0"/>
          <w:sz w:val="24"/>
          <w:szCs w:val="24"/>
          <w14:ligatures w14:val="none"/>
        </w:rPr>
        <w:t xml:space="preserve"> isolates with resistance to multiple fungicide chemistries and underscores the need for prudent application of site-specific fungicides to effectively manage gray mold in blueberries in the PNW.</w:t>
      </w:r>
      <w:bookmarkEnd w:id="0"/>
    </w:p>
    <w:p w14:paraId="2BCCD524" w14:textId="77777777" w:rsidR="004C6962" w:rsidRDefault="004C6962" w:rsidP="00220831">
      <w:pPr>
        <w:spacing w:line="240" w:lineRule="auto"/>
      </w:pPr>
    </w:p>
    <w:sectPr w:rsidR="004C6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31"/>
    <w:rsid w:val="0006176C"/>
    <w:rsid w:val="000978C8"/>
    <w:rsid w:val="00150A8C"/>
    <w:rsid w:val="00220831"/>
    <w:rsid w:val="00367D90"/>
    <w:rsid w:val="004550BD"/>
    <w:rsid w:val="004C6962"/>
    <w:rsid w:val="008D4B83"/>
    <w:rsid w:val="00936462"/>
    <w:rsid w:val="00B416E5"/>
    <w:rsid w:val="00E53D04"/>
    <w:rsid w:val="00E6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F319F"/>
  <w15:chartTrackingRefBased/>
  <w15:docId w15:val="{8C2766BD-C27F-4E17-A976-67E852FB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31"/>
  </w:style>
  <w:style w:type="paragraph" w:styleId="Heading1">
    <w:name w:val="heading 1"/>
    <w:basedOn w:val="Normal"/>
    <w:next w:val="Normal"/>
    <w:link w:val="Heading1Char"/>
    <w:uiPriority w:val="9"/>
    <w:qFormat/>
    <w:rsid w:val="00220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831"/>
    <w:rPr>
      <w:rFonts w:eastAsiaTheme="majorEastAsia" w:cstheme="majorBidi"/>
      <w:color w:val="272727" w:themeColor="text1" w:themeTint="D8"/>
    </w:rPr>
  </w:style>
  <w:style w:type="paragraph" w:styleId="Title">
    <w:name w:val="Title"/>
    <w:basedOn w:val="Normal"/>
    <w:next w:val="Normal"/>
    <w:link w:val="TitleChar"/>
    <w:uiPriority w:val="10"/>
    <w:qFormat/>
    <w:rsid w:val="00220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831"/>
    <w:pPr>
      <w:spacing w:before="160"/>
      <w:jc w:val="center"/>
    </w:pPr>
    <w:rPr>
      <w:i/>
      <w:iCs/>
      <w:color w:val="404040" w:themeColor="text1" w:themeTint="BF"/>
    </w:rPr>
  </w:style>
  <w:style w:type="character" w:customStyle="1" w:styleId="QuoteChar">
    <w:name w:val="Quote Char"/>
    <w:basedOn w:val="DefaultParagraphFont"/>
    <w:link w:val="Quote"/>
    <w:uiPriority w:val="29"/>
    <w:rsid w:val="00220831"/>
    <w:rPr>
      <w:i/>
      <w:iCs/>
      <w:color w:val="404040" w:themeColor="text1" w:themeTint="BF"/>
    </w:rPr>
  </w:style>
  <w:style w:type="paragraph" w:styleId="ListParagraph">
    <w:name w:val="List Paragraph"/>
    <w:basedOn w:val="Normal"/>
    <w:uiPriority w:val="34"/>
    <w:qFormat/>
    <w:rsid w:val="00220831"/>
    <w:pPr>
      <w:ind w:left="720"/>
      <w:contextualSpacing/>
    </w:pPr>
  </w:style>
  <w:style w:type="character" w:styleId="IntenseEmphasis">
    <w:name w:val="Intense Emphasis"/>
    <w:basedOn w:val="DefaultParagraphFont"/>
    <w:uiPriority w:val="21"/>
    <w:qFormat/>
    <w:rsid w:val="00220831"/>
    <w:rPr>
      <w:i/>
      <w:iCs/>
      <w:color w:val="0F4761" w:themeColor="accent1" w:themeShade="BF"/>
    </w:rPr>
  </w:style>
  <w:style w:type="paragraph" w:styleId="IntenseQuote">
    <w:name w:val="Intense Quote"/>
    <w:basedOn w:val="Normal"/>
    <w:next w:val="Normal"/>
    <w:link w:val="IntenseQuoteChar"/>
    <w:uiPriority w:val="30"/>
    <w:qFormat/>
    <w:rsid w:val="00220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831"/>
    <w:rPr>
      <w:i/>
      <w:iCs/>
      <w:color w:val="0F4761" w:themeColor="accent1" w:themeShade="BF"/>
    </w:rPr>
  </w:style>
  <w:style w:type="character" w:styleId="IntenseReference">
    <w:name w:val="Intense Reference"/>
    <w:basedOn w:val="DefaultParagraphFont"/>
    <w:uiPriority w:val="32"/>
    <w:qFormat/>
    <w:rsid w:val="002208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F374692994F4E90F7DEA70E150AC9" ma:contentTypeVersion="10" ma:contentTypeDescription="Create a new document." ma:contentTypeScope="" ma:versionID="7b0ff672efc05cf4a1efeb3d1858c507">
  <xsd:schema xmlns:xsd="http://www.w3.org/2001/XMLSchema" xmlns:xs="http://www.w3.org/2001/XMLSchema" xmlns:p="http://schemas.microsoft.com/office/2006/metadata/properties" xmlns:ns3="d6936741-e62f-4b9b-bb6c-82d19cf174fa" targetNamespace="http://schemas.microsoft.com/office/2006/metadata/properties" ma:root="true" ma:fieldsID="77368ad6839f0db1cc9cf40da6573458" ns3:_="">
    <xsd:import namespace="d6936741-e62f-4b9b-bb6c-82d19cf174f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36741-e62f-4b9b-bb6c-82d19cf174f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936741-e62f-4b9b-bb6c-82d19cf174fa" xsi:nil="true"/>
  </documentManagement>
</p:properties>
</file>

<file path=customXml/itemProps1.xml><?xml version="1.0" encoding="utf-8"?>
<ds:datastoreItem xmlns:ds="http://schemas.openxmlformats.org/officeDocument/2006/customXml" ds:itemID="{D8EEED5E-000B-4425-ACF3-255880C2A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36741-e62f-4b9b-bb6c-82d19cf17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61C77-12FA-464F-A9CF-94C52994F0E7}">
  <ds:schemaRefs>
    <ds:schemaRef ds:uri="http://schemas.microsoft.com/sharepoint/v3/contenttype/forms"/>
  </ds:schemaRefs>
</ds:datastoreItem>
</file>

<file path=customXml/itemProps3.xml><?xml version="1.0" encoding="utf-8"?>
<ds:datastoreItem xmlns:ds="http://schemas.openxmlformats.org/officeDocument/2006/customXml" ds:itemID="{D00AEDC7-7A70-4D43-893C-AD82D08F2747}">
  <ds:schemaRefs>
    <ds:schemaRef ds:uri="http://schemas.microsoft.com/office/2006/metadata/properties"/>
    <ds:schemaRef ds:uri="d6936741-e62f-4b9b-bb6c-82d19cf174fa"/>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446</Words>
  <Characters>2581</Characters>
  <Application>Microsoft Office Word</Application>
  <DocSecurity>0</DocSecurity>
  <Lines>36</Lines>
  <Paragraphs>1</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Roshani Baral</dc:creator>
  <cp:keywords/>
  <dc:description/>
  <cp:lastModifiedBy>Roshani Baral</cp:lastModifiedBy>
  <cp:revision>1</cp:revision>
  <dcterms:created xsi:type="dcterms:W3CDTF">2024-09-23T19:06:00Z</dcterms:created>
  <dcterms:modified xsi:type="dcterms:W3CDTF">2024-09-23T19:15:00Z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a118414e-816e-4aff-9e16-2278f6218de1</vt:lpwstr>
  </property>
  <property fmtid="{D5CDD505-2E9C-101B-9397-08002B2CF9AE}" pid="3" name="ContentTypeId">
    <vt:lpwstr>0x010100ABEF374692994F4E90F7DEA70E150AC9</vt:lpwstr>
  </property>
</Properties>
</file>